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>Załącznik do rozporządzenia Ministra Klimatu i Środowiska</w:t>
      </w:r>
    </w:p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</w:p>
    <w:p>
      <w:pPr>
        <w:pStyle w:val="OZNRODZAKTUtznustawalubrozporzdzenieiorganwydajcy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3175" distB="3810" distL="3175" distR="3810" simplePos="0" locked="0" layoutInCell="0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5200 w 114480"/>
                            <a:gd name="textAreaTop" fmla="*/ 0 h 123840"/>
                            <a:gd name="textAreaBottom" fmla="*/ 12456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3810" distB="3175" distL="3810" distR="3175" simplePos="0" locked="0" layoutInCell="0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560 w 114840"/>
                            <a:gd name="textAreaTop" fmla="*/ 0 h 124200"/>
                            <a:gd name="textAreaBottom" fmla="*/ 12492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1"/>
      <w:bookmarkStart w:id="9" w:name="_Hlk519296681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4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10"/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3" w:name="_Hlk519372041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3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4" w:name="_Hlk519373231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7" w:name="_Hlk519374101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432"/>
      <w:bookmarkStart w:id="20" w:name="_Hlk519373921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21" w:name="_Hlk519375031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1"/>
      <w:bookmarkStart w:id="23" w:name="_Hlk519374321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4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4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66" w:before="0" w:after="4"/>
        <w:ind w:right="-49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ab/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5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5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0"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26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6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WNIOSKODAWCÓW O WYPŁATĘ DODATKU OSŁONOWEGO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Rozporządzenie RODO aktualne będą poniższe zasady związane z 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278"/>
        <w:ind w:left="426" w:hanging="360"/>
        <w:contextualSpacing/>
        <w:jc w:val="both"/>
        <w:rPr/>
      </w:pPr>
      <w:r>
        <w:rPr>
          <w:rFonts w:cs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rFonts w:cs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rFonts w:cs="Times New Roman"/>
          <w:sz w:val="20"/>
          <w:szCs w:val="20"/>
          <w:lang w:eastAsia="pl-PL"/>
        </w:rPr>
        <w:t xml:space="preserve"> telefonicznie pod nr tel.  </w:t>
      </w:r>
      <w:r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55 506-56-40 </w:t>
      </w:r>
      <w:r>
        <w:rPr>
          <w:rFonts w:cs="Times New Roman"/>
          <w:sz w:val="20"/>
          <w:szCs w:val="20"/>
          <w:lang w:eastAsia="pl-PL"/>
        </w:rPr>
        <w:t xml:space="preserve">oraz za pośrednictwem poczty elektronicznej </w:t>
      </w:r>
      <w:hyperlink r:id="rId3">
        <w:r>
          <w:rPr>
            <w:rStyle w:val="Czeinternetowe"/>
            <w:rFonts w:cs="Times New Roman"/>
            <w:sz w:val="20"/>
            <w:szCs w:val="20"/>
            <w:lang w:eastAsia="pl-PL"/>
          </w:rPr>
          <w:t>gops@gops-sztutowo.pl</w:t>
        </w:r>
      </w:hyperlink>
      <w:r>
        <w:rPr>
          <w:rFonts w:cs="Times New Roman"/>
          <w:color w:val="4472C4"/>
          <w:sz w:val="20"/>
          <w:szCs w:val="20"/>
          <w:u w:val="single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0" w:after="0"/>
        <w:ind w:left="426" w:hanging="360"/>
        <w:contextualSpacing/>
        <w:jc w:val="both"/>
        <w:rPr/>
      </w:pPr>
      <w:r>
        <w:rPr>
          <w:rFonts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4">
        <w:r>
          <w:rPr>
            <w:rStyle w:val="Czeinternetowe"/>
            <w:rFonts w:cs="Times New Roman"/>
            <w:sz w:val="20"/>
            <w:szCs w:val="20"/>
            <w:lang w:eastAsia="pl-PL"/>
          </w:rPr>
          <w:t>iod@mainsoft.pl</w:t>
        </w:r>
      </w:hyperlink>
      <w:r>
        <w:rPr>
          <w:rFonts w:cs="Times New Roman"/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59" w:before="278" w:after="160"/>
        <w:ind w:left="426" w:hanging="360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Ustawy z dnia 17 grudnia 2021 r. o dodatku osłonowym,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278" w:after="278"/>
        <w:ind w:left="1134" w:hanging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Rozporządzenie Ministra Klimatu i Środowiska z dnia 16 stycznia 2024 r. w sprawie wzoru wniosku o wypłatę dodatku osłonowego.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/>
          <w:sz w:val="20"/>
          <w:szCs w:val="20"/>
        </w:rPr>
        <w:t>Ponadto dane mogą być udostępnione</w:t>
      </w:r>
      <w:r>
        <w:rPr>
          <w:rFonts w:eastAsia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Podanie danych jest obowiązkowe, a obowiązek ich podania wynika z przepisów prawa. Wniosek o wypłatę dodatku osłonowego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Pani/Pana dane osobowe</w:t>
      </w:r>
      <w:r>
        <w:rPr>
          <w:rFonts w:cs="Times New Roman"/>
          <w:sz w:val="20"/>
          <w:szCs w:val="20"/>
        </w:rPr>
        <w:t xml:space="preserve"> nie podlegają zautomatyzowanemu podejmowaniu decyzji, w tym profilowaniu.</w:t>
      </w:r>
      <w:bookmarkStart w:id="28" w:name="_Hlk91066341"/>
      <w:bookmarkEnd w:id="28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>
      <w:headerReference w:type="default" r:id="rId5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yperlink" Target="mailto:gops@gops-sztutowo.pl" TargetMode="External"/><Relationship Id="rId4" Type="http://schemas.openxmlformats.org/officeDocument/2006/relationships/hyperlink" Target="mailto:iod@pcpr.powiatsztumski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12</Pages>
  <Words>3660</Words>
  <Characters>23809</Characters>
  <CharactersWithSpaces>27607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2024-01-31T14:11:50Z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